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71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36"/>
        <w:gridCol w:w="7296"/>
        <w:gridCol w:w="4961"/>
      </w:tblGrid>
      <w:tr w:rsidR="00F43C95" w:rsidRPr="00A121D4" w14:paraId="67174643" w14:textId="77777777" w:rsidTr="00F3695E">
        <w:trPr>
          <w:trHeight w:val="350"/>
        </w:trPr>
        <w:tc>
          <w:tcPr>
            <w:tcW w:w="15593" w:type="dxa"/>
            <w:gridSpan w:val="3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E89134" w14:textId="0A10025D" w:rsidR="00F43C95" w:rsidRPr="009F2BB8" w:rsidRDefault="00F43C95" w:rsidP="00064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</w:pPr>
            <w:r w:rsidRPr="009F2BB8"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  <w:t>Year 10 Student Work Experience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  <w:t xml:space="preserve"> -</w:t>
            </w:r>
            <w:r w:rsidRPr="009F2BB8"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  <w:t xml:space="preserve"> Timeline 20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  <w:t>22 to 2023</w:t>
            </w:r>
          </w:p>
        </w:tc>
      </w:tr>
      <w:tr w:rsidR="00064D15" w:rsidRPr="00A121D4" w14:paraId="52FFA4E9" w14:textId="77777777" w:rsidTr="0090722E">
        <w:trPr>
          <w:trHeight w:val="350"/>
        </w:trPr>
        <w:tc>
          <w:tcPr>
            <w:tcW w:w="3336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EF7865" w14:textId="77777777" w:rsidR="00064D15" w:rsidRPr="00F43C95" w:rsidRDefault="00064D15" w:rsidP="00064D1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F43C95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eastAsia="en-GB"/>
              </w:rPr>
              <w:t>Date</w:t>
            </w:r>
          </w:p>
        </w:tc>
        <w:tc>
          <w:tcPr>
            <w:tcW w:w="7296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EA7E6D" w14:textId="77777777" w:rsidR="00064D15" w:rsidRPr="00F43C95" w:rsidRDefault="00064D15" w:rsidP="00064D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eastAsia="en-GB"/>
              </w:rPr>
            </w:pPr>
            <w:r w:rsidRPr="00F43C95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eastAsia="en-GB"/>
              </w:rPr>
              <w:t>Action</w:t>
            </w:r>
          </w:p>
        </w:tc>
        <w:tc>
          <w:tcPr>
            <w:tcW w:w="4961" w:type="dxa"/>
            <w:shd w:val="clear" w:color="auto" w:fill="D2DEEF"/>
          </w:tcPr>
          <w:p w14:paraId="3A00FD3B" w14:textId="32ECEC8D" w:rsidR="00064D15" w:rsidRPr="00F43C95" w:rsidRDefault="00F43C95" w:rsidP="00F43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eastAsia="en-GB"/>
              </w:rPr>
            </w:pPr>
            <w:r w:rsidRPr="00F43C95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8"/>
                <w:szCs w:val="28"/>
                <w:lang w:eastAsia="en-GB"/>
              </w:rPr>
              <w:t>Notes</w:t>
            </w:r>
          </w:p>
        </w:tc>
      </w:tr>
      <w:tr w:rsidR="00064D15" w:rsidRPr="009B0E2A" w14:paraId="630AE23E" w14:textId="77777777" w:rsidTr="0090722E">
        <w:trPr>
          <w:trHeight w:val="839"/>
        </w:trPr>
        <w:tc>
          <w:tcPr>
            <w:tcW w:w="3336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66EBD" w14:textId="227F167A" w:rsidR="00064D15" w:rsidRPr="009B0E2A" w:rsidRDefault="00A23AAF" w:rsidP="00064D1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Following </w:t>
            </w:r>
            <w:r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October Half-term / Early </w:t>
            </w:r>
            <w:r w:rsidR="00EE1599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November </w:t>
            </w:r>
            <w:r w:rsidR="00064D15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20</w:t>
            </w:r>
            <w:r w:rsidR="00EE1599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2</w:t>
            </w:r>
            <w:r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2</w:t>
            </w:r>
            <w:r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=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Student Launch Assembly </w:t>
            </w:r>
          </w:p>
        </w:tc>
        <w:tc>
          <w:tcPr>
            <w:tcW w:w="7296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3184F" w14:textId="59048243" w:rsidR="00064D15" w:rsidRPr="009B0E2A" w:rsidRDefault="00064D15" w:rsidP="00064D1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Yr 10 Tutors, Students and Pastoral Team </w:t>
            </w:r>
            <w:r w:rsidR="001F03A0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‘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Briefed</w:t>
            </w:r>
            <w:r w:rsidR="001F03A0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’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about Work Experience. ‘Introduction’ to Work Experienc</w:t>
            </w:r>
            <w:r w:rsidR="00293DA6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e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</w:t>
            </w:r>
            <w:r w:rsidR="001F03A0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– via Assembly, 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Roles Explained, </w:t>
            </w:r>
            <w:r w:rsidR="001F03A0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Tutor Input and Parent Information Letter/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Work Ex. </w:t>
            </w:r>
            <w:r w:rsidR="001F03A0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Forms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/ Process Explained </w:t>
            </w:r>
          </w:p>
        </w:tc>
        <w:tc>
          <w:tcPr>
            <w:tcW w:w="4961" w:type="dxa"/>
            <w:shd w:val="clear" w:color="auto" w:fill="EAEFF7"/>
          </w:tcPr>
          <w:p w14:paraId="69B86BC2" w14:textId="37AB9ABA" w:rsidR="00064D15" w:rsidRPr="009B0E2A" w:rsidRDefault="00064D15" w:rsidP="00284A57">
            <w:pPr>
              <w:spacing w:after="0" w:line="240" w:lineRule="auto"/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Tutors </w:t>
            </w:r>
            <w:r w:rsidR="00284A57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and parents 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to encourage students to find placements in good time.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Further discussions in form groups</w:t>
            </w:r>
            <w:r w:rsidR="00A23AAF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and links to PSHCE topics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. </w:t>
            </w:r>
            <w:r w:rsidR="00A23AAF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Copies of 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Letters</w:t>
            </w:r>
            <w:r w:rsidR="00A23AAF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&amp; 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Forms to </w:t>
            </w:r>
            <w:r w:rsidR="00A23AAF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be distributed following the launch 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assembly. </w:t>
            </w:r>
          </w:p>
        </w:tc>
      </w:tr>
      <w:tr w:rsidR="00064D15" w:rsidRPr="009B0E2A" w14:paraId="47F3A45D" w14:textId="77777777" w:rsidTr="0090722E">
        <w:trPr>
          <w:trHeight w:val="584"/>
        </w:trPr>
        <w:tc>
          <w:tcPr>
            <w:tcW w:w="3336" w:type="dxa"/>
            <w:shd w:val="clear" w:color="auto" w:fill="F7CAAC" w:themeFill="accent2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964C86" w14:textId="5BA1DE7B" w:rsidR="00EE1599" w:rsidRPr="00363117" w:rsidRDefault="00EE1599" w:rsidP="00064D1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</w:pPr>
            <w:r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November 202</w:t>
            </w:r>
            <w:r w:rsidR="00A23AAF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2</w:t>
            </w:r>
          </w:p>
          <w:p w14:paraId="28028F04" w14:textId="5A65A536" w:rsidR="00064D15" w:rsidRPr="009B0E2A" w:rsidRDefault="00064D15" w:rsidP="00064D15">
            <w:pPr>
              <w:spacing w:after="0" w:line="240" w:lineRule="auto"/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onwards </w:t>
            </w:r>
            <w:r w:rsidR="00185610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–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Letters and relevant ‘forms’ issued </w:t>
            </w:r>
          </w:p>
        </w:tc>
        <w:tc>
          <w:tcPr>
            <w:tcW w:w="7296" w:type="dxa"/>
            <w:shd w:val="clear" w:color="auto" w:fill="F7CAAC" w:themeFill="accent2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55A3C" w14:textId="0FDC31D0" w:rsidR="00064D15" w:rsidRPr="009B0E2A" w:rsidRDefault="00064D15" w:rsidP="00064D15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Copies of letter, timeline, medical form and employer placement forms 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issued to students via form groups.</w:t>
            </w:r>
            <w:r w:rsidRPr="009B0E2A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</w:t>
            </w:r>
            <w:r w:rsidR="0090722E" w:rsidRPr="009B0E2A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  <w:t>PSHCE sessions to focus on Work Experience Topics during Half-term 2.</w:t>
            </w:r>
          </w:p>
        </w:tc>
        <w:tc>
          <w:tcPr>
            <w:tcW w:w="4961" w:type="dxa"/>
            <w:shd w:val="clear" w:color="auto" w:fill="F7CAAC" w:themeFill="accent2" w:themeFillTint="66"/>
          </w:tcPr>
          <w:p w14:paraId="6AD351BD" w14:textId="6DB64E81" w:rsidR="00064D15" w:rsidRPr="009B0E2A" w:rsidRDefault="00064D15" w:rsidP="00064D15">
            <w:pPr>
              <w:spacing w:after="0" w:line="240" w:lineRule="auto"/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All documents placed on website for direct access. </w:t>
            </w:r>
            <w:r w:rsidR="00281F63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i.e. </w:t>
            </w:r>
            <w:r w:rsidR="00A23AAF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Careers Education Tab, </w:t>
            </w:r>
            <w:proofErr w:type="spellStart"/>
            <w:r w:rsidR="00A23AAF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Yr</w:t>
            </w:r>
            <w:proofErr w:type="spellEnd"/>
            <w:r w:rsidR="00A23AAF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10 </w:t>
            </w:r>
            <w:r w:rsidR="00281F63" w:rsidRPr="009B0E2A">
              <w:rPr>
                <w:rFonts w:ascii="Calibri" w:eastAsia="Times New Roman" w:hAnsi="Calibri" w:cs="Arial"/>
                <w:i/>
                <w:color w:val="000000" w:themeColor="dark1"/>
                <w:kern w:val="24"/>
                <w:sz w:val="26"/>
                <w:szCs w:val="26"/>
                <w:lang w:eastAsia="en-GB"/>
              </w:rPr>
              <w:t>Work Experience</w:t>
            </w:r>
            <w:r w:rsidR="00A23AAF">
              <w:rPr>
                <w:rFonts w:ascii="Calibri" w:eastAsia="Times New Roman" w:hAnsi="Calibri" w:cs="Arial"/>
                <w:i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For</w:t>
            </w:r>
            <w:r w:rsidR="0004384B">
              <w:rPr>
                <w:rFonts w:ascii="Calibri" w:eastAsia="Times New Roman" w:hAnsi="Calibri" w:cs="Arial"/>
                <w:i/>
                <w:color w:val="000000" w:themeColor="dark1"/>
                <w:kern w:val="24"/>
                <w:sz w:val="26"/>
                <w:szCs w:val="26"/>
                <w:lang w:eastAsia="en-GB"/>
              </w:rPr>
              <w:t>ms</w:t>
            </w:r>
          </w:p>
        </w:tc>
      </w:tr>
      <w:tr w:rsidR="00064D15" w:rsidRPr="009B0E2A" w14:paraId="12111CB5" w14:textId="77777777" w:rsidTr="0090722E">
        <w:trPr>
          <w:trHeight w:val="584"/>
        </w:trPr>
        <w:tc>
          <w:tcPr>
            <w:tcW w:w="3336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F5626B" w14:textId="6789DCCE" w:rsidR="00064D15" w:rsidRPr="00363117" w:rsidRDefault="00EE1599" w:rsidP="0006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GB"/>
              </w:rPr>
            </w:pPr>
            <w:r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Friday </w:t>
            </w:r>
            <w:r w:rsidR="00064D15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</w:t>
            </w:r>
            <w:r w:rsidR="00185610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9</w:t>
            </w:r>
            <w:proofErr w:type="spellStart"/>
            <w:r w:rsidR="00064D15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position w:val="11"/>
                <w:sz w:val="26"/>
                <w:szCs w:val="26"/>
                <w:vertAlign w:val="superscript"/>
                <w:lang w:eastAsia="en-GB"/>
              </w:rPr>
              <w:t>th</w:t>
            </w:r>
            <w:proofErr w:type="spellEnd"/>
            <w:r w:rsidR="00064D15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December 20</w:t>
            </w:r>
            <w:r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2</w:t>
            </w:r>
            <w:r w:rsidR="00185610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2</w:t>
            </w:r>
          </w:p>
        </w:tc>
        <w:tc>
          <w:tcPr>
            <w:tcW w:w="7296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D8C86" w14:textId="526CFAFD" w:rsidR="00064D15" w:rsidRPr="009B0E2A" w:rsidRDefault="00064D15" w:rsidP="00064D1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  <w:t>Tutor Review of Progress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</w:t>
            </w:r>
            <w:r w:rsidR="00293DA6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–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</w:t>
            </w:r>
            <w:r w:rsidR="00293DA6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u w:val="single"/>
                <w:lang w:eastAsia="en-GB"/>
              </w:rPr>
              <w:t xml:space="preserve">Initial 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u w:val="single"/>
                <w:lang w:eastAsia="en-GB"/>
              </w:rPr>
              <w:t>Check on Self-Placements</w:t>
            </w:r>
            <w:r w:rsidR="00293DA6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. A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ll students to </w:t>
            </w:r>
            <w:r w:rsidR="0090722E" w:rsidRPr="009B0E2A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‘</w:t>
            </w:r>
            <w:r w:rsidRPr="009B0E2A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indicate</w:t>
            </w:r>
            <w:r w:rsidR="0090722E" w:rsidRPr="009B0E2A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’</w:t>
            </w:r>
            <w:r w:rsidRPr="009B0E2A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if they can self-place </w:t>
            </w:r>
            <w:r w:rsidR="00293DA6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&amp;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/or</w:t>
            </w:r>
            <w:r w:rsidR="00293DA6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return completed forms accordingly.  </w:t>
            </w:r>
            <w:r w:rsidRPr="009B0E2A">
              <w:rPr>
                <w:rFonts w:ascii="Calibri" w:eastAsia="Times New Roman" w:hAnsi="Calibri" w:cs="Arial"/>
                <w:i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(Return </w:t>
            </w:r>
            <w:r w:rsidR="0090722E" w:rsidRPr="009B0E2A">
              <w:rPr>
                <w:rFonts w:ascii="Calibri" w:eastAsia="Times New Roman" w:hAnsi="Calibri" w:cs="Arial"/>
                <w:i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forms </w:t>
            </w:r>
            <w:r w:rsidRPr="009B0E2A">
              <w:rPr>
                <w:rFonts w:ascii="Calibri" w:eastAsia="Times New Roman" w:hAnsi="Calibri" w:cs="Arial"/>
                <w:i/>
                <w:color w:val="000000" w:themeColor="dark1"/>
                <w:kern w:val="24"/>
                <w:sz w:val="26"/>
                <w:szCs w:val="26"/>
                <w:lang w:eastAsia="en-GB"/>
              </w:rPr>
              <w:t>to Tutor</w:t>
            </w:r>
            <w:r w:rsidR="0090722E" w:rsidRPr="009B0E2A">
              <w:rPr>
                <w:rFonts w:ascii="Calibri" w:eastAsia="Times New Roman" w:hAnsi="Calibri" w:cs="Arial"/>
                <w:i/>
                <w:color w:val="000000" w:themeColor="dark1"/>
                <w:kern w:val="24"/>
                <w:sz w:val="26"/>
                <w:szCs w:val="26"/>
                <w:lang w:eastAsia="en-GB"/>
              </w:rPr>
              <w:t>s</w:t>
            </w:r>
            <w:r w:rsidRPr="009B0E2A">
              <w:rPr>
                <w:rFonts w:ascii="Calibri" w:eastAsia="Times New Roman" w:hAnsi="Calibri" w:cs="Arial"/>
                <w:i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or Main </w:t>
            </w:r>
            <w:r w:rsidR="00284A57" w:rsidRPr="009B0E2A">
              <w:rPr>
                <w:rFonts w:ascii="Calibri" w:eastAsia="Times New Roman" w:hAnsi="Calibri" w:cs="Arial"/>
                <w:i/>
                <w:color w:val="000000" w:themeColor="dark1"/>
                <w:kern w:val="24"/>
                <w:sz w:val="26"/>
                <w:szCs w:val="26"/>
                <w:lang w:eastAsia="en-GB"/>
              </w:rPr>
              <w:t>R</w:t>
            </w:r>
            <w:r w:rsidRPr="009B0E2A">
              <w:rPr>
                <w:rFonts w:ascii="Calibri" w:eastAsia="Times New Roman" w:hAnsi="Calibri" w:cs="Arial"/>
                <w:i/>
                <w:color w:val="000000" w:themeColor="dark1"/>
                <w:kern w:val="24"/>
                <w:sz w:val="26"/>
                <w:szCs w:val="26"/>
                <w:lang w:eastAsia="en-GB"/>
              </w:rPr>
              <w:t>eception)</w:t>
            </w:r>
            <w:r w:rsidR="0090722E" w:rsidRPr="009B0E2A">
              <w:rPr>
                <w:rFonts w:ascii="Calibri" w:eastAsia="Times New Roman" w:hAnsi="Calibri" w:cs="Arial"/>
                <w:i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. Tutors to top up the shared one drive spreadsheet </w:t>
            </w:r>
            <w:proofErr w:type="spellStart"/>
            <w:r w:rsidR="0090722E" w:rsidRPr="009B0E2A">
              <w:rPr>
                <w:rFonts w:ascii="Calibri" w:eastAsia="Times New Roman" w:hAnsi="Calibri" w:cs="Arial"/>
                <w:i/>
                <w:color w:val="000000" w:themeColor="dark1"/>
                <w:kern w:val="24"/>
                <w:sz w:val="26"/>
                <w:szCs w:val="26"/>
                <w:lang w:eastAsia="en-GB"/>
              </w:rPr>
              <w:t>Yr</w:t>
            </w:r>
            <w:proofErr w:type="spellEnd"/>
            <w:r w:rsidR="0090722E" w:rsidRPr="009B0E2A">
              <w:rPr>
                <w:rFonts w:ascii="Calibri" w:eastAsia="Times New Roman" w:hAnsi="Calibri" w:cs="Arial"/>
                <w:i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10 Form Group ‘tracker’.</w:t>
            </w:r>
          </w:p>
        </w:tc>
        <w:tc>
          <w:tcPr>
            <w:tcW w:w="4961" w:type="dxa"/>
            <w:shd w:val="clear" w:color="auto" w:fill="EAEFF7"/>
          </w:tcPr>
          <w:p w14:paraId="7094A880" w14:textId="1FB8B224" w:rsidR="00064D15" w:rsidRPr="009B0E2A" w:rsidRDefault="00064D15" w:rsidP="00064D15">
            <w:pPr>
              <w:spacing w:after="0" w:line="240" w:lineRule="auto"/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Check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s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</w:t>
            </w:r>
            <w:r w:rsidR="00293DA6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carried out 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by Careers Leader 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on the numbers and types of placements arranged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so far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. Placement forms </w:t>
            </w:r>
            <w:r w:rsidR="00293DA6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returned 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back a.s.a.p.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Careers Leader to report back to SLT with update and projected numbers</w:t>
            </w:r>
          </w:p>
        </w:tc>
      </w:tr>
      <w:tr w:rsidR="00064D15" w:rsidRPr="009B0E2A" w14:paraId="61E0769C" w14:textId="77777777" w:rsidTr="0090722E">
        <w:trPr>
          <w:trHeight w:val="584"/>
        </w:trPr>
        <w:tc>
          <w:tcPr>
            <w:tcW w:w="3336" w:type="dxa"/>
            <w:shd w:val="clear" w:color="auto" w:fill="FD7F7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6F5F1" w14:textId="12DE1349" w:rsidR="00064D15" w:rsidRPr="009B0E2A" w:rsidRDefault="00EE1599" w:rsidP="00064D15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  <w:t>Friday 2</w:t>
            </w:r>
            <w:r w:rsidR="00185610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  <w:t>4</w:t>
            </w:r>
            <w:r w:rsidRPr="009B0E2A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vertAlign w:val="superscript"/>
                <w:lang w:eastAsia="en-GB"/>
              </w:rPr>
              <w:t>th</w:t>
            </w:r>
            <w:r w:rsidRPr="009B0E2A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March 202</w:t>
            </w:r>
            <w:r w:rsidR="00185610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  <w:t>3</w:t>
            </w:r>
          </w:p>
        </w:tc>
        <w:tc>
          <w:tcPr>
            <w:tcW w:w="7296" w:type="dxa"/>
            <w:shd w:val="clear" w:color="auto" w:fill="FD7F7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5DC25" w14:textId="7FD996D0" w:rsidR="00064D15" w:rsidRPr="009B0E2A" w:rsidRDefault="00064D15" w:rsidP="00064D1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Final Deadline for Self-Placement Forms –                                                                                All placements confirmed and self- placement and medical forms logged.  </w:t>
            </w:r>
            <w:r w:rsidR="001F03A0" w:rsidRPr="009B0E2A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Forms returned to Tutor, </w:t>
            </w:r>
            <w:r w:rsidR="0090722E" w:rsidRPr="009B0E2A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Year Head </w:t>
            </w:r>
            <w:r w:rsidR="001F03A0" w:rsidRPr="009B0E2A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or </w:t>
            </w:r>
            <w:r w:rsidR="0090722E" w:rsidRPr="009B0E2A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directly to </w:t>
            </w:r>
            <w:r w:rsidR="001F03A0" w:rsidRPr="009B0E2A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main reception </w:t>
            </w:r>
          </w:p>
        </w:tc>
        <w:tc>
          <w:tcPr>
            <w:tcW w:w="4961" w:type="dxa"/>
            <w:shd w:val="clear" w:color="auto" w:fill="FD7F7F"/>
          </w:tcPr>
          <w:p w14:paraId="312B36C2" w14:textId="77777777" w:rsidR="00064D15" w:rsidRPr="009B0E2A" w:rsidRDefault="00064D15" w:rsidP="00064D1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Final deadline for all forms and placements confirmed</w:t>
            </w:r>
          </w:p>
        </w:tc>
      </w:tr>
      <w:tr w:rsidR="00064D15" w:rsidRPr="009B0E2A" w14:paraId="1BB44F9A" w14:textId="77777777" w:rsidTr="0090722E">
        <w:trPr>
          <w:trHeight w:val="584"/>
        </w:trPr>
        <w:tc>
          <w:tcPr>
            <w:tcW w:w="3336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33191B" w14:textId="68575273" w:rsidR="00064D15" w:rsidRPr="00363117" w:rsidRDefault="00EE1599" w:rsidP="0006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GB"/>
              </w:rPr>
            </w:pPr>
            <w:r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April to June </w:t>
            </w:r>
            <w:r w:rsidR="003514A3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202</w:t>
            </w:r>
            <w:r w:rsidR="00185610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3</w:t>
            </w:r>
          </w:p>
        </w:tc>
        <w:tc>
          <w:tcPr>
            <w:tcW w:w="7296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572A39" w14:textId="2D7E4FE9" w:rsidR="00064D15" w:rsidRPr="009B0E2A" w:rsidRDefault="00EE1599" w:rsidP="00064D1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Pastoral 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–</w:t>
            </w:r>
            <w:r w:rsidR="00064D15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Further </w:t>
            </w:r>
            <w:r w:rsidR="00064D15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Work 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Ex. </w:t>
            </w:r>
            <w:r w:rsidR="00185610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S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upport </w:t>
            </w:r>
            <w:r w:rsidR="00064D15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sessions for targeted students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e.g. PP, SEND and Hard to Reach </w:t>
            </w:r>
            <w:r w:rsidR="00064D15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  </w:t>
            </w:r>
          </w:p>
        </w:tc>
        <w:tc>
          <w:tcPr>
            <w:tcW w:w="4961" w:type="dxa"/>
            <w:shd w:val="clear" w:color="auto" w:fill="EAEFF7"/>
          </w:tcPr>
          <w:p w14:paraId="14FBD202" w14:textId="3C18EA5E" w:rsidR="00064D15" w:rsidRPr="009B0E2A" w:rsidRDefault="00064D15" w:rsidP="00064D15">
            <w:pPr>
              <w:spacing w:after="0" w:line="240" w:lineRule="auto"/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Support offered as appropriate</w:t>
            </w:r>
            <w:r w:rsidR="0090722E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by Careers Leader, Year Team, SEND and Support Staff</w:t>
            </w:r>
          </w:p>
        </w:tc>
      </w:tr>
      <w:tr w:rsidR="00064D15" w:rsidRPr="009B0E2A" w14:paraId="661F4196" w14:textId="77777777" w:rsidTr="0090722E">
        <w:trPr>
          <w:trHeight w:val="584"/>
        </w:trPr>
        <w:tc>
          <w:tcPr>
            <w:tcW w:w="3336" w:type="dxa"/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5E7540" w14:textId="1E90C0CF" w:rsidR="00064D15" w:rsidRPr="00363117" w:rsidRDefault="00CC37AF" w:rsidP="0006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GB"/>
              </w:rPr>
            </w:pPr>
            <w:r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Friday May </w:t>
            </w:r>
            <w:r w:rsidR="00185610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19</w:t>
            </w:r>
            <w:r w:rsidR="00185610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vertAlign w:val="superscript"/>
                <w:lang w:eastAsia="en-GB"/>
              </w:rPr>
              <w:t>th</w:t>
            </w:r>
            <w:r w:rsidR="00185610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</w:t>
            </w:r>
            <w:r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202</w:t>
            </w:r>
            <w:r w:rsidR="00185610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3</w:t>
            </w:r>
          </w:p>
        </w:tc>
        <w:tc>
          <w:tcPr>
            <w:tcW w:w="7296" w:type="dxa"/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C4FBD5" w14:textId="1D924A2B" w:rsidR="00064D15" w:rsidRPr="009B0E2A" w:rsidRDefault="00064D15" w:rsidP="00064D15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Staff Review and Check of Placement Details Re: Health and Safety </w:t>
            </w:r>
            <w:r w:rsidR="0090722E" w:rsidRPr="009B0E2A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Review </w:t>
            </w:r>
            <w:r w:rsidRPr="009B0E2A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 </w:t>
            </w:r>
          </w:p>
        </w:tc>
        <w:tc>
          <w:tcPr>
            <w:tcW w:w="4961" w:type="dxa"/>
            <w:shd w:val="clear" w:color="auto" w:fill="A8D08D" w:themeFill="accent6" w:themeFillTint="99"/>
          </w:tcPr>
          <w:p w14:paraId="40FDDD4A" w14:textId="1CD437A8" w:rsidR="00064D15" w:rsidRPr="009B0E2A" w:rsidRDefault="00064D15" w:rsidP="00064D15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Final </w:t>
            </w:r>
            <w:r w:rsidR="009B0E2A" w:rsidRPr="009B0E2A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Paperwork </w:t>
            </w:r>
            <w:r w:rsidRPr="009B0E2A">
              <w:rPr>
                <w:rFonts w:ascii="Calibri" w:eastAsia="Times New Roman" w:hAnsi="Calibri" w:cs="Arial"/>
                <w:b/>
                <w:color w:val="000000" w:themeColor="dark1"/>
                <w:kern w:val="24"/>
                <w:sz w:val="26"/>
                <w:szCs w:val="26"/>
                <w:lang w:eastAsia="en-GB"/>
              </w:rPr>
              <w:t>checks in place.</w:t>
            </w:r>
          </w:p>
        </w:tc>
      </w:tr>
      <w:tr w:rsidR="00064D15" w:rsidRPr="009B0E2A" w14:paraId="56AC356B" w14:textId="77777777" w:rsidTr="0090722E">
        <w:trPr>
          <w:trHeight w:val="584"/>
        </w:trPr>
        <w:tc>
          <w:tcPr>
            <w:tcW w:w="3336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24124C" w14:textId="5AC0A1E1" w:rsidR="00064D15" w:rsidRPr="00363117" w:rsidRDefault="00064D15" w:rsidP="00064D1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</w:pPr>
            <w:r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June </w:t>
            </w:r>
            <w:r w:rsidR="00185610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23</w:t>
            </w:r>
            <w:r w:rsidR="00185610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vertAlign w:val="superscript"/>
                <w:lang w:eastAsia="en-GB"/>
              </w:rPr>
              <w:t>rd</w:t>
            </w:r>
            <w:r w:rsidR="00185610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-</w:t>
            </w:r>
            <w:r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202</w:t>
            </w:r>
            <w:r w:rsidR="00185610" w:rsidRPr="00363117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3</w:t>
            </w:r>
          </w:p>
          <w:p w14:paraId="7ADEE2A5" w14:textId="762434ED" w:rsidR="00064D15" w:rsidRPr="009B0E2A" w:rsidRDefault="00064D15" w:rsidP="00064D1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Work Ex. </w:t>
            </w:r>
            <w:r w:rsidR="0004384B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‘Info 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Packs</w:t>
            </w:r>
            <w:r w:rsidR="0004384B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’</w:t>
            </w:r>
            <w:r w:rsidR="00185610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Issued to Students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/ Medical Updates</w:t>
            </w:r>
            <w:r w:rsidR="0004384B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Communicated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 </w:t>
            </w:r>
          </w:p>
        </w:tc>
        <w:tc>
          <w:tcPr>
            <w:tcW w:w="7296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A9C981" w14:textId="4FE7AB8A" w:rsidR="00064D15" w:rsidRPr="009B0E2A" w:rsidRDefault="00064D15" w:rsidP="00064D15">
            <w:pPr>
              <w:spacing w:after="0" w:line="240" w:lineRule="auto"/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Employer and Student Guidance ‘</w:t>
            </w:r>
            <w:r w:rsidR="0004384B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Info 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Packs’ Issued</w:t>
            </w:r>
            <w:r w:rsidR="009B0E2A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and explained for taking </w:t>
            </w:r>
            <w:r w:rsidR="0004384B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out </w:t>
            </w:r>
            <w:r w:rsidR="009B0E2A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on placement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. </w:t>
            </w:r>
          </w:p>
          <w:p w14:paraId="33A4338E" w14:textId="472DF5DF" w:rsidR="00064D15" w:rsidRPr="009B0E2A" w:rsidRDefault="00064D15" w:rsidP="00064D1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Final Medical checks</w:t>
            </w:r>
            <w:r w:rsidR="001F03A0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and admin checks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. </w:t>
            </w:r>
            <w:r w:rsidR="00185610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Generic Employer Email Sent Out or </w:t>
            </w:r>
            <w:r w:rsidR="009B0E2A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Employers contacted accordingly</w:t>
            </w:r>
            <w:r w:rsidR="00185610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.</w:t>
            </w:r>
            <w:r w:rsidR="009B0E2A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</w:t>
            </w:r>
          </w:p>
        </w:tc>
        <w:tc>
          <w:tcPr>
            <w:tcW w:w="4961" w:type="dxa"/>
            <w:shd w:val="clear" w:color="auto" w:fill="EAEFF7"/>
          </w:tcPr>
          <w:p w14:paraId="3D5A9252" w14:textId="1F6F0662" w:rsidR="00064D15" w:rsidRPr="009B0E2A" w:rsidRDefault="00064D15" w:rsidP="00064D15">
            <w:pPr>
              <w:spacing w:after="0" w:line="240" w:lineRule="auto"/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Work Experience </w:t>
            </w:r>
            <w:r w:rsidR="00284A57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‘</w:t>
            </w:r>
            <w:r w:rsidR="0004384B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Info 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Packs</w:t>
            </w:r>
            <w:r w:rsidR="00284A57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>’</w:t>
            </w:r>
            <w:r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</w:t>
            </w:r>
            <w:r w:rsidR="009B0E2A" w:rsidRPr="009B0E2A">
              <w:rPr>
                <w:rFonts w:ascii="Calibri" w:eastAsia="Times New Roman" w:hAnsi="Calibri" w:cs="Arial"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given to students. Employer Email Message sent out with Student Feedback Form re: Health and Safety briefings and contact details etc. </w:t>
            </w:r>
          </w:p>
        </w:tc>
      </w:tr>
      <w:tr w:rsidR="00064D15" w:rsidRPr="009B0E2A" w14:paraId="7738D483" w14:textId="77777777" w:rsidTr="0090722E">
        <w:trPr>
          <w:trHeight w:val="584"/>
        </w:trPr>
        <w:tc>
          <w:tcPr>
            <w:tcW w:w="3336" w:type="dxa"/>
            <w:shd w:val="clear" w:color="auto" w:fill="F4B083" w:themeFill="accen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A3DB6" w14:textId="667612EB" w:rsidR="00064D15" w:rsidRPr="00185610" w:rsidRDefault="00185610" w:rsidP="0006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July 17</w:t>
            </w:r>
            <w:r w:rsidRPr="00185610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to July 21</w:t>
            </w:r>
            <w:r w:rsidRPr="00185610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2023</w:t>
            </w:r>
          </w:p>
        </w:tc>
        <w:tc>
          <w:tcPr>
            <w:tcW w:w="7296" w:type="dxa"/>
            <w:shd w:val="clear" w:color="auto" w:fill="F4B083" w:themeFill="accen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E41E9" w14:textId="77777777" w:rsidR="00064D15" w:rsidRPr="009B0E2A" w:rsidRDefault="00064D15" w:rsidP="00064D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9B0E2A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Work Experience Week</w:t>
            </w:r>
          </w:p>
        </w:tc>
        <w:tc>
          <w:tcPr>
            <w:tcW w:w="4961" w:type="dxa"/>
            <w:shd w:val="clear" w:color="auto" w:fill="F4B083" w:themeFill="accent2" w:themeFillTint="99"/>
          </w:tcPr>
          <w:p w14:paraId="09E37CD6" w14:textId="5590BEF7" w:rsidR="00064D15" w:rsidRPr="009B0E2A" w:rsidRDefault="009B0E2A" w:rsidP="00064D1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>Students to carry out a review of work ex.</w:t>
            </w:r>
            <w:r w:rsidR="0004384B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 / feedback </w:t>
            </w:r>
            <w:r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6"/>
                <w:szCs w:val="26"/>
                <w:lang w:eastAsia="en-GB"/>
              </w:rPr>
              <w:t xml:space="preserve">first week back in September. </w:t>
            </w:r>
          </w:p>
        </w:tc>
      </w:tr>
    </w:tbl>
    <w:p w14:paraId="5A3D9D53" w14:textId="77777777" w:rsidR="007C10BC" w:rsidRPr="009B0E2A" w:rsidRDefault="007C10BC">
      <w:pPr>
        <w:rPr>
          <w:sz w:val="26"/>
          <w:szCs w:val="26"/>
        </w:rPr>
      </w:pPr>
    </w:p>
    <w:sectPr w:rsidR="007C10BC" w:rsidRPr="009B0E2A" w:rsidSect="00A121D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D4"/>
    <w:rsid w:val="0004384B"/>
    <w:rsid w:val="00064D15"/>
    <w:rsid w:val="00157660"/>
    <w:rsid w:val="00185610"/>
    <w:rsid w:val="001F03A0"/>
    <w:rsid w:val="00281F63"/>
    <w:rsid w:val="00284A57"/>
    <w:rsid w:val="00290A76"/>
    <w:rsid w:val="00293DA6"/>
    <w:rsid w:val="00317192"/>
    <w:rsid w:val="003514A3"/>
    <w:rsid w:val="00363117"/>
    <w:rsid w:val="00373AA0"/>
    <w:rsid w:val="00381CEC"/>
    <w:rsid w:val="003F62DB"/>
    <w:rsid w:val="004C223A"/>
    <w:rsid w:val="0057528F"/>
    <w:rsid w:val="00623B5B"/>
    <w:rsid w:val="00701AB1"/>
    <w:rsid w:val="00734CF3"/>
    <w:rsid w:val="007C10BC"/>
    <w:rsid w:val="0090722E"/>
    <w:rsid w:val="00986699"/>
    <w:rsid w:val="009B0E2A"/>
    <w:rsid w:val="009C06A6"/>
    <w:rsid w:val="009F2BB8"/>
    <w:rsid w:val="00A121D4"/>
    <w:rsid w:val="00A23AAF"/>
    <w:rsid w:val="00B426C6"/>
    <w:rsid w:val="00C3405D"/>
    <w:rsid w:val="00CC37AF"/>
    <w:rsid w:val="00CD03AA"/>
    <w:rsid w:val="00CE329A"/>
    <w:rsid w:val="00DA0557"/>
    <w:rsid w:val="00E5474B"/>
    <w:rsid w:val="00EE1599"/>
    <w:rsid w:val="00F102E6"/>
    <w:rsid w:val="00F43C95"/>
    <w:rsid w:val="00F70D29"/>
    <w:rsid w:val="00F8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89A5C"/>
  <w15:chartTrackingRefBased/>
  <w15:docId w15:val="{0E79DE05-473E-477E-943B-460F445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Sandbach School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Mills</dc:creator>
  <cp:keywords/>
  <dc:description/>
  <cp:lastModifiedBy>Stephen Mills</cp:lastModifiedBy>
  <cp:revision>10</cp:revision>
  <cp:lastPrinted>2021-10-19T07:52:00Z</cp:lastPrinted>
  <dcterms:created xsi:type="dcterms:W3CDTF">2021-10-18T14:43:00Z</dcterms:created>
  <dcterms:modified xsi:type="dcterms:W3CDTF">2022-10-16T10:01:00Z</dcterms:modified>
</cp:coreProperties>
</file>